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C3" w:rsidRDefault="00320EC3" w:rsidP="00320E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Informacja</w:t>
      </w: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Wójta Gminy Gruta</w:t>
      </w:r>
    </w:p>
    <w:p w:rsidR="00320EC3" w:rsidRDefault="00320EC3" w:rsidP="00320EC3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z</w:t>
      </w:r>
      <w:proofErr w:type="gramEnd"/>
      <w:r>
        <w:rPr>
          <w:b/>
          <w:bCs/>
          <w:sz w:val="22"/>
          <w:szCs w:val="22"/>
        </w:rPr>
        <w:t xml:space="preserve"> dnia </w:t>
      </w:r>
      <w:r w:rsidR="008209BB">
        <w:rPr>
          <w:b/>
          <w:bCs/>
          <w:sz w:val="22"/>
          <w:szCs w:val="22"/>
        </w:rPr>
        <w:t>19</w:t>
      </w:r>
      <w:r>
        <w:rPr>
          <w:b/>
          <w:bCs/>
          <w:sz w:val="22"/>
          <w:szCs w:val="22"/>
        </w:rPr>
        <w:t xml:space="preserve"> </w:t>
      </w:r>
      <w:r w:rsidR="008209BB">
        <w:rPr>
          <w:b/>
          <w:bCs/>
          <w:sz w:val="22"/>
          <w:szCs w:val="22"/>
        </w:rPr>
        <w:t>lipca</w:t>
      </w:r>
      <w:r>
        <w:rPr>
          <w:b/>
          <w:bCs/>
          <w:sz w:val="22"/>
          <w:szCs w:val="22"/>
        </w:rPr>
        <w:t xml:space="preserve"> 201</w:t>
      </w:r>
      <w:r w:rsidR="00434639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roku</w:t>
      </w: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w</w:t>
      </w:r>
      <w:proofErr w:type="gramEnd"/>
      <w:r>
        <w:rPr>
          <w:b/>
          <w:bCs/>
          <w:sz w:val="22"/>
          <w:szCs w:val="22"/>
        </w:rPr>
        <w:t xml:space="preserve"> sprawie wykonania budżetu</w:t>
      </w:r>
    </w:p>
    <w:p w:rsidR="00320EC3" w:rsidRDefault="00320EC3" w:rsidP="00320EC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Gminy Gruta za </w:t>
      </w:r>
      <w:r w:rsidR="008209BB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>I kwartał 201</w:t>
      </w:r>
      <w:r w:rsidR="0040379A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 xml:space="preserve"> roku</w:t>
      </w: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</w:p>
    <w:p w:rsidR="00320EC3" w:rsidRDefault="00320EC3" w:rsidP="00320E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Zgodnie z art. 37 ust. 1 pkt 1 ustawy z dnia 27 sierpnia 2009r. o finansach publicznych (Dz.U.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 xml:space="preserve"> 201</w:t>
      </w:r>
      <w:r w:rsidR="00434639">
        <w:rPr>
          <w:sz w:val="22"/>
          <w:szCs w:val="22"/>
        </w:rPr>
        <w:t>7</w:t>
      </w:r>
      <w:r>
        <w:rPr>
          <w:sz w:val="22"/>
          <w:szCs w:val="22"/>
        </w:rPr>
        <w:t xml:space="preserve">r., poz. </w:t>
      </w:r>
      <w:r w:rsidR="00434639">
        <w:rPr>
          <w:sz w:val="22"/>
          <w:szCs w:val="22"/>
        </w:rPr>
        <w:t>2077</w:t>
      </w:r>
      <w:r w:rsidR="005F64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zm. ) </w:t>
      </w:r>
      <w:proofErr w:type="gramEnd"/>
    </w:p>
    <w:p w:rsidR="00320EC3" w:rsidRDefault="00320EC3" w:rsidP="00320EC3">
      <w:pPr>
        <w:pStyle w:val="Default"/>
        <w:rPr>
          <w:sz w:val="22"/>
          <w:szCs w:val="22"/>
        </w:rPr>
      </w:pPr>
    </w:p>
    <w:p w:rsidR="00320EC3" w:rsidRDefault="00320EC3" w:rsidP="00320EC3">
      <w:pPr>
        <w:pStyle w:val="Default"/>
        <w:rPr>
          <w:sz w:val="22"/>
          <w:szCs w:val="22"/>
        </w:rPr>
      </w:pPr>
    </w:p>
    <w:p w:rsidR="00320EC3" w:rsidRDefault="00320EC3" w:rsidP="00320EC3">
      <w:pPr>
        <w:pStyle w:val="Default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informuję</w:t>
      </w:r>
      <w:proofErr w:type="gramEnd"/>
      <w:r>
        <w:rPr>
          <w:b/>
          <w:bCs/>
          <w:sz w:val="22"/>
          <w:szCs w:val="22"/>
        </w:rPr>
        <w:t>, że</w:t>
      </w:r>
    </w:p>
    <w:p w:rsidR="00320EC3" w:rsidRDefault="00320EC3" w:rsidP="00320EC3">
      <w:pPr>
        <w:pStyle w:val="Default"/>
        <w:jc w:val="center"/>
        <w:rPr>
          <w:b/>
          <w:bCs/>
          <w:sz w:val="22"/>
          <w:szCs w:val="22"/>
        </w:rPr>
      </w:pPr>
    </w:p>
    <w:p w:rsidR="00320EC3" w:rsidRDefault="00320EC3" w:rsidP="00320EC3">
      <w:pPr>
        <w:pStyle w:val="Default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realizując</w:t>
      </w:r>
      <w:proofErr w:type="gramEnd"/>
      <w:r>
        <w:rPr>
          <w:sz w:val="22"/>
          <w:szCs w:val="22"/>
        </w:rPr>
        <w:t xml:space="preserve"> uchwałę Nr XX</w:t>
      </w:r>
      <w:r w:rsidR="0040379A">
        <w:rPr>
          <w:sz w:val="22"/>
          <w:szCs w:val="22"/>
        </w:rPr>
        <w:t>VII</w:t>
      </w:r>
      <w:r>
        <w:rPr>
          <w:sz w:val="22"/>
          <w:szCs w:val="22"/>
        </w:rPr>
        <w:t>/1</w:t>
      </w:r>
      <w:r w:rsidR="0040379A">
        <w:rPr>
          <w:sz w:val="22"/>
          <w:szCs w:val="22"/>
        </w:rPr>
        <w:t>98/17</w:t>
      </w:r>
      <w:r>
        <w:rPr>
          <w:sz w:val="22"/>
          <w:szCs w:val="22"/>
        </w:rPr>
        <w:t xml:space="preserve"> Rady Gminy Gruta z dnia </w:t>
      </w:r>
      <w:r w:rsidR="0040379A">
        <w:rPr>
          <w:sz w:val="22"/>
          <w:szCs w:val="22"/>
        </w:rPr>
        <w:t>15</w:t>
      </w:r>
      <w:r>
        <w:rPr>
          <w:sz w:val="22"/>
          <w:szCs w:val="22"/>
        </w:rPr>
        <w:t xml:space="preserve"> grudnia 201</w:t>
      </w:r>
      <w:r w:rsidR="0040379A">
        <w:rPr>
          <w:sz w:val="22"/>
          <w:szCs w:val="22"/>
        </w:rPr>
        <w:t>7</w:t>
      </w:r>
      <w:r>
        <w:rPr>
          <w:sz w:val="22"/>
          <w:szCs w:val="22"/>
        </w:rPr>
        <w:t xml:space="preserve"> roku w sprawie uchwalenia budżetu Gminy Gruta na 201</w:t>
      </w:r>
      <w:r w:rsidR="0040379A">
        <w:rPr>
          <w:sz w:val="22"/>
          <w:szCs w:val="22"/>
        </w:rPr>
        <w:t>8</w:t>
      </w:r>
      <w:r>
        <w:rPr>
          <w:sz w:val="22"/>
          <w:szCs w:val="22"/>
        </w:rPr>
        <w:t xml:space="preserve"> rok oraz uchwały i zarządzenia zmieniające, wykonanie budżetu Gminy Gruta za </w:t>
      </w:r>
      <w:r w:rsidR="00C45ACE">
        <w:rPr>
          <w:sz w:val="22"/>
          <w:szCs w:val="22"/>
        </w:rPr>
        <w:t>I</w:t>
      </w:r>
      <w:r w:rsidR="008209BB">
        <w:rPr>
          <w:sz w:val="22"/>
          <w:szCs w:val="22"/>
        </w:rPr>
        <w:t>I</w:t>
      </w:r>
      <w:r>
        <w:rPr>
          <w:sz w:val="22"/>
          <w:szCs w:val="22"/>
        </w:rPr>
        <w:t xml:space="preserve"> kwartał 201</w:t>
      </w:r>
      <w:r w:rsidR="0040379A">
        <w:rPr>
          <w:sz w:val="22"/>
          <w:szCs w:val="22"/>
        </w:rPr>
        <w:t>8</w:t>
      </w:r>
      <w:r>
        <w:rPr>
          <w:sz w:val="22"/>
          <w:szCs w:val="22"/>
        </w:rPr>
        <w:t xml:space="preserve"> roku przedstawia się następująco:</w:t>
      </w: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</w:p>
    <w:p w:rsidR="00320EC3" w:rsidRDefault="00320EC3" w:rsidP="00320EC3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700"/>
        <w:gridCol w:w="2454"/>
      </w:tblGrid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  <w:jc w:val="center"/>
            </w:pPr>
            <w:r w:rsidRPr="009974D3">
              <w:t>Wyszczególnienie</w:t>
            </w:r>
          </w:p>
        </w:tc>
        <w:tc>
          <w:tcPr>
            <w:tcW w:w="2700" w:type="dxa"/>
          </w:tcPr>
          <w:p w:rsidR="00320EC3" w:rsidRPr="009974D3" w:rsidRDefault="00320EC3" w:rsidP="00F67AC7">
            <w:pPr>
              <w:pStyle w:val="Default"/>
              <w:jc w:val="center"/>
            </w:pPr>
            <w:r w:rsidRPr="009974D3">
              <w:t>Plan (po zmianach)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center"/>
            </w:pPr>
            <w:r w:rsidRPr="009974D3">
              <w:t>Wykonanie od początku roku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  <w:rPr>
                <w:b/>
              </w:rPr>
            </w:pPr>
            <w:r w:rsidRPr="009974D3">
              <w:rPr>
                <w:b/>
              </w:rPr>
              <w:t xml:space="preserve">DOCHODY w tym: </w:t>
            </w:r>
          </w:p>
        </w:tc>
        <w:tc>
          <w:tcPr>
            <w:tcW w:w="2700" w:type="dxa"/>
          </w:tcPr>
          <w:p w:rsidR="00320EC3" w:rsidRPr="0002757D" w:rsidRDefault="008209BB" w:rsidP="008209BB">
            <w:pPr>
              <w:pStyle w:val="Defaul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31 209 679,52</w:t>
            </w:r>
          </w:p>
        </w:tc>
        <w:tc>
          <w:tcPr>
            <w:tcW w:w="2454" w:type="dxa"/>
          </w:tcPr>
          <w:p w:rsidR="00320EC3" w:rsidRPr="001514E0" w:rsidRDefault="008209BB" w:rsidP="0040379A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16 989 364,20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Dochody bieżące </w:t>
            </w:r>
          </w:p>
        </w:tc>
        <w:tc>
          <w:tcPr>
            <w:tcW w:w="2700" w:type="dxa"/>
          </w:tcPr>
          <w:p w:rsidR="00320EC3" w:rsidRPr="009974D3" w:rsidRDefault="00434639" w:rsidP="0040379A">
            <w:pPr>
              <w:pStyle w:val="Default"/>
              <w:jc w:val="right"/>
            </w:pPr>
            <w:r>
              <w:t>2</w:t>
            </w:r>
            <w:r w:rsidR="008209BB">
              <w:t>8 082 103,49</w:t>
            </w:r>
          </w:p>
        </w:tc>
        <w:tc>
          <w:tcPr>
            <w:tcW w:w="2454" w:type="dxa"/>
          </w:tcPr>
          <w:p w:rsidR="00320EC3" w:rsidRPr="009974D3" w:rsidRDefault="008209BB" w:rsidP="0040379A">
            <w:pPr>
              <w:pStyle w:val="Default"/>
              <w:jc w:val="right"/>
            </w:pPr>
            <w:r>
              <w:t>15 941 047,17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Dochody majątkowe </w:t>
            </w:r>
          </w:p>
        </w:tc>
        <w:tc>
          <w:tcPr>
            <w:tcW w:w="2700" w:type="dxa"/>
          </w:tcPr>
          <w:p w:rsidR="00320EC3" w:rsidRPr="009974D3" w:rsidRDefault="008209BB" w:rsidP="0040379A">
            <w:pPr>
              <w:pStyle w:val="Default"/>
              <w:jc w:val="right"/>
            </w:pPr>
            <w:r>
              <w:t>3 127 576,03</w:t>
            </w:r>
          </w:p>
        </w:tc>
        <w:tc>
          <w:tcPr>
            <w:tcW w:w="2454" w:type="dxa"/>
          </w:tcPr>
          <w:p w:rsidR="00320EC3" w:rsidRPr="009974D3" w:rsidRDefault="008209BB" w:rsidP="00F67AC7">
            <w:pPr>
              <w:pStyle w:val="Default"/>
              <w:jc w:val="right"/>
            </w:pPr>
            <w:r>
              <w:t>1 048 317,03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rPr>
                <w:b/>
                <w:bCs/>
              </w:rPr>
              <w:t xml:space="preserve">WYDATKI w tym: </w:t>
            </w:r>
          </w:p>
        </w:tc>
        <w:tc>
          <w:tcPr>
            <w:tcW w:w="2700" w:type="dxa"/>
          </w:tcPr>
          <w:p w:rsidR="00320EC3" w:rsidRPr="0021749D" w:rsidRDefault="008209BB" w:rsidP="00B82E6F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35 183 020,25</w:t>
            </w:r>
          </w:p>
        </w:tc>
        <w:tc>
          <w:tcPr>
            <w:tcW w:w="2454" w:type="dxa"/>
          </w:tcPr>
          <w:p w:rsidR="00320EC3" w:rsidRPr="0021749D" w:rsidRDefault="008209BB" w:rsidP="00B82E6F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15 800 004,36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Wydatki bieżące </w:t>
            </w:r>
          </w:p>
        </w:tc>
        <w:tc>
          <w:tcPr>
            <w:tcW w:w="2700" w:type="dxa"/>
          </w:tcPr>
          <w:p w:rsidR="00320EC3" w:rsidRPr="009974D3" w:rsidRDefault="00434639" w:rsidP="00B82E6F">
            <w:pPr>
              <w:pStyle w:val="Default"/>
              <w:jc w:val="right"/>
            </w:pPr>
            <w:r>
              <w:t>2</w:t>
            </w:r>
            <w:r w:rsidR="008209BB">
              <w:t>6 791 360,22</w:t>
            </w:r>
          </w:p>
        </w:tc>
        <w:tc>
          <w:tcPr>
            <w:tcW w:w="2454" w:type="dxa"/>
          </w:tcPr>
          <w:p w:rsidR="00320EC3" w:rsidRPr="009974D3" w:rsidRDefault="008209BB" w:rsidP="00B82E6F">
            <w:pPr>
              <w:pStyle w:val="Default"/>
              <w:tabs>
                <w:tab w:val="center" w:pos="1119"/>
                <w:tab w:val="right" w:pos="2238"/>
              </w:tabs>
              <w:jc w:val="right"/>
            </w:pPr>
            <w:r>
              <w:t>13 745 023,27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Wydatki majątkowe </w:t>
            </w:r>
          </w:p>
        </w:tc>
        <w:tc>
          <w:tcPr>
            <w:tcW w:w="2700" w:type="dxa"/>
          </w:tcPr>
          <w:p w:rsidR="00320EC3" w:rsidRPr="009974D3" w:rsidRDefault="008209BB" w:rsidP="00B82E6F">
            <w:pPr>
              <w:pStyle w:val="Default"/>
              <w:jc w:val="right"/>
            </w:pPr>
            <w:r>
              <w:t>8 391 660,03</w:t>
            </w:r>
          </w:p>
        </w:tc>
        <w:tc>
          <w:tcPr>
            <w:tcW w:w="2454" w:type="dxa"/>
          </w:tcPr>
          <w:p w:rsidR="00320EC3" w:rsidRPr="009974D3" w:rsidRDefault="008209BB" w:rsidP="00F67AC7">
            <w:pPr>
              <w:pStyle w:val="Default"/>
              <w:jc w:val="right"/>
            </w:pPr>
            <w:r>
              <w:t>2 054 981,09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  <w:rPr>
                <w:b/>
              </w:rPr>
            </w:pPr>
            <w:r w:rsidRPr="009974D3">
              <w:rPr>
                <w:b/>
              </w:rPr>
              <w:t xml:space="preserve">NADWYŻKA/DEFICYT </w:t>
            </w:r>
          </w:p>
        </w:tc>
        <w:tc>
          <w:tcPr>
            <w:tcW w:w="2700" w:type="dxa"/>
          </w:tcPr>
          <w:p w:rsidR="00320EC3" w:rsidRPr="00B165B4" w:rsidRDefault="001514E0" w:rsidP="00B82E6F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B82E6F">
              <w:rPr>
                <w:b/>
              </w:rPr>
              <w:t>3</w:t>
            </w:r>
            <w:r w:rsidR="008209BB">
              <w:rPr>
                <w:b/>
              </w:rPr>
              <w:t> 973 340,73</w:t>
            </w:r>
          </w:p>
        </w:tc>
        <w:tc>
          <w:tcPr>
            <w:tcW w:w="2454" w:type="dxa"/>
          </w:tcPr>
          <w:p w:rsidR="00320EC3" w:rsidRPr="009974D3" w:rsidRDefault="008209BB" w:rsidP="00F67AC7">
            <w:pPr>
              <w:pStyle w:val="Default"/>
              <w:jc w:val="right"/>
            </w:pPr>
            <w:r>
              <w:t>1 189 359,87</w:t>
            </w:r>
          </w:p>
        </w:tc>
      </w:tr>
      <w:tr w:rsidR="00320EC3" w:rsidRPr="009974D3" w:rsidTr="00F67AC7">
        <w:trPr>
          <w:trHeight w:val="103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rPr>
                <w:b/>
                <w:bCs/>
              </w:rPr>
              <w:t xml:space="preserve">Przychody ogółem z tego: </w:t>
            </w:r>
          </w:p>
        </w:tc>
        <w:tc>
          <w:tcPr>
            <w:tcW w:w="2700" w:type="dxa"/>
          </w:tcPr>
          <w:p w:rsidR="00320EC3" w:rsidRPr="009A0E67" w:rsidRDefault="008209BB" w:rsidP="00B82E6F">
            <w:pPr>
              <w:pStyle w:val="Default"/>
              <w:ind w:left="-60"/>
              <w:jc w:val="right"/>
              <w:rPr>
                <w:b/>
              </w:rPr>
            </w:pPr>
            <w:r>
              <w:rPr>
                <w:b/>
              </w:rPr>
              <w:t>4 592 135,01</w:t>
            </w:r>
          </w:p>
        </w:tc>
        <w:tc>
          <w:tcPr>
            <w:tcW w:w="2454" w:type="dxa"/>
          </w:tcPr>
          <w:p w:rsidR="00320EC3" w:rsidRPr="00F474DA" w:rsidRDefault="008209BB" w:rsidP="00B82E6F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1 823 876,87</w:t>
            </w:r>
          </w:p>
        </w:tc>
      </w:tr>
      <w:tr w:rsidR="00320EC3" w:rsidRPr="009974D3" w:rsidTr="00F67AC7">
        <w:trPr>
          <w:trHeight w:val="106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Kredyty i pożyczki </w:t>
            </w:r>
          </w:p>
        </w:tc>
        <w:tc>
          <w:tcPr>
            <w:tcW w:w="2700" w:type="dxa"/>
          </w:tcPr>
          <w:p w:rsidR="00320EC3" w:rsidRPr="009974D3" w:rsidRDefault="008209BB" w:rsidP="00B82E6F">
            <w:pPr>
              <w:pStyle w:val="Default"/>
              <w:jc w:val="right"/>
            </w:pPr>
            <w:r>
              <w:t>3 245 852,33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Spłata pożyczek udzielonych </w:t>
            </w:r>
          </w:p>
        </w:tc>
        <w:tc>
          <w:tcPr>
            <w:tcW w:w="2700" w:type="dxa"/>
          </w:tcPr>
          <w:p w:rsidR="00320EC3" w:rsidRPr="009974D3" w:rsidRDefault="001514E0" w:rsidP="00F67AC7">
            <w:pPr>
              <w:pStyle w:val="Default"/>
              <w:jc w:val="right"/>
            </w:pPr>
            <w:r>
              <w:t>0,00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</w:tr>
      <w:tr w:rsidR="00320EC3" w:rsidRPr="009974D3" w:rsidTr="00F67AC7">
        <w:trPr>
          <w:trHeight w:val="105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Nadwyżka z lat ubiegłych </w:t>
            </w:r>
          </w:p>
        </w:tc>
        <w:tc>
          <w:tcPr>
            <w:tcW w:w="2700" w:type="dxa"/>
          </w:tcPr>
          <w:p w:rsidR="00320EC3" w:rsidRPr="009974D3" w:rsidRDefault="001514E0" w:rsidP="00F67AC7">
            <w:pPr>
              <w:pStyle w:val="Default"/>
              <w:jc w:val="right"/>
            </w:pPr>
            <w:r>
              <w:t>0,00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</w:tr>
      <w:tr w:rsidR="00320EC3" w:rsidRPr="009974D3" w:rsidTr="00F67AC7">
        <w:trPr>
          <w:trHeight w:val="216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Wolne środki z tytułu rozliczenia pożyczek i kredytów z lat ubiegłych </w:t>
            </w:r>
          </w:p>
        </w:tc>
        <w:tc>
          <w:tcPr>
            <w:tcW w:w="2700" w:type="dxa"/>
          </w:tcPr>
          <w:p w:rsidR="00320EC3" w:rsidRPr="009974D3" w:rsidRDefault="008209BB" w:rsidP="00F67AC7">
            <w:pPr>
              <w:pStyle w:val="Default"/>
              <w:jc w:val="right"/>
            </w:pPr>
            <w:r>
              <w:t>1 346 282,68</w:t>
            </w:r>
          </w:p>
        </w:tc>
        <w:tc>
          <w:tcPr>
            <w:tcW w:w="2454" w:type="dxa"/>
          </w:tcPr>
          <w:p w:rsidR="00320EC3" w:rsidRPr="009974D3" w:rsidRDefault="001514E0" w:rsidP="00B82E6F">
            <w:pPr>
              <w:pStyle w:val="Default"/>
              <w:jc w:val="right"/>
            </w:pPr>
            <w:r>
              <w:t>1</w:t>
            </w:r>
            <w:r w:rsidR="008209BB">
              <w:t> 823 876,87</w:t>
            </w:r>
          </w:p>
        </w:tc>
      </w:tr>
      <w:tr w:rsidR="00320EC3" w:rsidRPr="009974D3" w:rsidTr="00F67AC7">
        <w:trPr>
          <w:trHeight w:val="10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rPr>
                <w:b/>
                <w:bCs/>
              </w:rPr>
              <w:t xml:space="preserve">Rozchody ogółem z tego: </w:t>
            </w:r>
          </w:p>
        </w:tc>
        <w:tc>
          <w:tcPr>
            <w:tcW w:w="2700" w:type="dxa"/>
          </w:tcPr>
          <w:p w:rsidR="00320EC3" w:rsidRPr="009A0E67" w:rsidRDefault="001514E0" w:rsidP="00F67AC7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618 794,28</w:t>
            </w:r>
          </w:p>
        </w:tc>
        <w:tc>
          <w:tcPr>
            <w:tcW w:w="2454" w:type="dxa"/>
          </w:tcPr>
          <w:p w:rsidR="00320EC3" w:rsidRPr="009A0E67" w:rsidRDefault="008209BB" w:rsidP="005F6483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308 897,14</w:t>
            </w:r>
          </w:p>
        </w:tc>
      </w:tr>
      <w:tr w:rsidR="00320EC3" w:rsidRPr="009974D3" w:rsidTr="00F67AC7">
        <w:trPr>
          <w:trHeight w:val="110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Spłaty kredytów i pożyczek </w:t>
            </w:r>
          </w:p>
        </w:tc>
        <w:tc>
          <w:tcPr>
            <w:tcW w:w="2700" w:type="dxa"/>
          </w:tcPr>
          <w:p w:rsidR="00320EC3" w:rsidRPr="009974D3" w:rsidRDefault="001514E0" w:rsidP="00F67AC7">
            <w:pPr>
              <w:pStyle w:val="Default"/>
              <w:jc w:val="right"/>
            </w:pPr>
            <w:r>
              <w:t>618 794,28</w:t>
            </w:r>
          </w:p>
        </w:tc>
        <w:tc>
          <w:tcPr>
            <w:tcW w:w="2454" w:type="dxa"/>
          </w:tcPr>
          <w:p w:rsidR="00320EC3" w:rsidRPr="009974D3" w:rsidRDefault="008209BB" w:rsidP="001514E0">
            <w:pPr>
              <w:pStyle w:val="Default"/>
              <w:jc w:val="right"/>
            </w:pPr>
            <w:r>
              <w:t>308 897,14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Pożyczki udzielone </w:t>
            </w:r>
          </w:p>
        </w:tc>
        <w:tc>
          <w:tcPr>
            <w:tcW w:w="2700" w:type="dxa"/>
          </w:tcPr>
          <w:p w:rsidR="00320EC3" w:rsidRPr="009974D3" w:rsidRDefault="006505E6" w:rsidP="00F67AC7">
            <w:pPr>
              <w:pStyle w:val="Default"/>
              <w:jc w:val="right"/>
            </w:pPr>
            <w:r>
              <w:t>0,00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</w:tr>
      <w:tr w:rsidR="00320EC3" w:rsidRPr="009974D3" w:rsidTr="00F67AC7">
        <w:trPr>
          <w:trHeight w:val="99"/>
        </w:trPr>
        <w:tc>
          <w:tcPr>
            <w:tcW w:w="3888" w:type="dxa"/>
          </w:tcPr>
          <w:p w:rsidR="00320EC3" w:rsidRPr="009974D3" w:rsidRDefault="00320EC3" w:rsidP="00F67AC7">
            <w:pPr>
              <w:pStyle w:val="Default"/>
            </w:pPr>
            <w:r w:rsidRPr="009974D3">
              <w:t xml:space="preserve">Inne cele </w:t>
            </w:r>
          </w:p>
        </w:tc>
        <w:tc>
          <w:tcPr>
            <w:tcW w:w="2700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  <w:tc>
          <w:tcPr>
            <w:tcW w:w="2454" w:type="dxa"/>
          </w:tcPr>
          <w:p w:rsidR="00320EC3" w:rsidRPr="009974D3" w:rsidRDefault="00320EC3" w:rsidP="00F67AC7">
            <w:pPr>
              <w:pStyle w:val="Default"/>
              <w:jc w:val="right"/>
            </w:pPr>
            <w:r>
              <w:t>0,00</w:t>
            </w:r>
          </w:p>
        </w:tc>
      </w:tr>
    </w:tbl>
    <w:p w:rsidR="00320EC3" w:rsidRDefault="00320EC3" w:rsidP="00320EC3"/>
    <w:p w:rsidR="00320EC3" w:rsidRDefault="00320EC3" w:rsidP="00320EC3">
      <w:pPr>
        <w:numPr>
          <w:ilvl w:val="0"/>
          <w:numId w:val="1"/>
        </w:numPr>
        <w:jc w:val="both"/>
      </w:pPr>
      <w:r>
        <w:t xml:space="preserve">Za </w:t>
      </w:r>
      <w:r w:rsidR="008209BB">
        <w:t>I</w:t>
      </w:r>
      <w:bookmarkStart w:id="0" w:name="_GoBack"/>
      <w:bookmarkEnd w:id="0"/>
      <w:r w:rsidR="005F6483">
        <w:t>I</w:t>
      </w:r>
      <w:r>
        <w:t xml:space="preserve"> kw. 201</w:t>
      </w:r>
      <w:r w:rsidR="0040379A">
        <w:t>8</w:t>
      </w:r>
      <w:r>
        <w:t xml:space="preserve"> roku osiągnięto nadwyżkę budżetową w wysokości </w:t>
      </w:r>
      <w:r w:rsidR="008209BB">
        <w:t>1 189 359,84</w:t>
      </w:r>
      <w:r>
        <w:t xml:space="preserve"> zł.</w:t>
      </w:r>
    </w:p>
    <w:p w:rsidR="00320EC3" w:rsidRPr="00E70BE9" w:rsidRDefault="00320EC3" w:rsidP="00320EC3">
      <w:pPr>
        <w:numPr>
          <w:ilvl w:val="0"/>
          <w:numId w:val="1"/>
        </w:numPr>
        <w:jc w:val="both"/>
      </w:pPr>
      <w:r w:rsidRPr="00E70BE9">
        <w:t>Do dnia 3</w:t>
      </w:r>
      <w:r w:rsidR="008209BB">
        <w:t>0</w:t>
      </w:r>
      <w:r w:rsidRPr="00E70BE9">
        <w:t xml:space="preserve"> </w:t>
      </w:r>
      <w:r w:rsidR="008209BB">
        <w:t>czerwca</w:t>
      </w:r>
      <w:r w:rsidR="00874746">
        <w:t xml:space="preserve"> </w:t>
      </w:r>
      <w:r w:rsidRPr="00E70BE9">
        <w:t>201</w:t>
      </w:r>
      <w:r w:rsidR="0040379A">
        <w:t>8</w:t>
      </w:r>
      <w:r w:rsidRPr="00E70BE9">
        <w:t xml:space="preserve"> roku nie udzielono umorzeń nie podatkowych należności budżetowych, o których mowa w art. 60 ustawy z dnia 27 sierpnia 2009 r. o finansach publicznych.</w:t>
      </w:r>
    </w:p>
    <w:p w:rsidR="00320EC3" w:rsidRPr="009974D3" w:rsidRDefault="00320EC3" w:rsidP="00320EC3">
      <w:pPr>
        <w:numPr>
          <w:ilvl w:val="0"/>
          <w:numId w:val="1"/>
        </w:numPr>
        <w:jc w:val="both"/>
      </w:pPr>
      <w:r w:rsidRPr="00E70BE9">
        <w:t>Informacja podlega</w:t>
      </w:r>
      <w:r>
        <w:t xml:space="preserve"> ogłoszeniu poprzez rozplakatowanie </w:t>
      </w:r>
      <w:proofErr w:type="spellStart"/>
      <w:r>
        <w:t>obwieszczeń</w:t>
      </w:r>
      <w:proofErr w:type="spellEnd"/>
      <w:r>
        <w:t xml:space="preserve"> w miejscach publicznych.</w:t>
      </w:r>
    </w:p>
    <w:p w:rsidR="0021707A" w:rsidRDefault="0021707A"/>
    <w:sectPr w:rsidR="0021707A" w:rsidSect="0086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758E"/>
    <w:multiLevelType w:val="hybridMultilevel"/>
    <w:tmpl w:val="301AE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53"/>
    <w:rsid w:val="001514E0"/>
    <w:rsid w:val="001E5D80"/>
    <w:rsid w:val="0021707A"/>
    <w:rsid w:val="00320EC3"/>
    <w:rsid w:val="0040379A"/>
    <w:rsid w:val="00434639"/>
    <w:rsid w:val="005C4453"/>
    <w:rsid w:val="005F6483"/>
    <w:rsid w:val="006505E6"/>
    <w:rsid w:val="00741640"/>
    <w:rsid w:val="008209BB"/>
    <w:rsid w:val="00874746"/>
    <w:rsid w:val="00932584"/>
    <w:rsid w:val="009A329A"/>
    <w:rsid w:val="00B82E6F"/>
    <w:rsid w:val="00BB3CEA"/>
    <w:rsid w:val="00C45ACE"/>
    <w:rsid w:val="00CF394A"/>
    <w:rsid w:val="00C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564C9-CAF2-4B7E-8827-09B71B16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EC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EC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4</cp:revision>
  <cp:lastPrinted>2017-07-26T07:11:00Z</cp:lastPrinted>
  <dcterms:created xsi:type="dcterms:W3CDTF">2018-04-24T12:19:00Z</dcterms:created>
  <dcterms:modified xsi:type="dcterms:W3CDTF">2018-07-19T12:37:00Z</dcterms:modified>
</cp:coreProperties>
</file>